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59B7C" w14:textId="77777777" w:rsidR="00DA4380" w:rsidRDefault="00526AA6">
      <w:pPr>
        <w:rPr>
          <w:lang w:val="en-US"/>
        </w:rPr>
      </w:pPr>
    </w:p>
    <w:p w14:paraId="1AEAC8FA" w14:textId="77777777" w:rsidR="00E523CB" w:rsidRDefault="00E523CB">
      <w:pPr>
        <w:rPr>
          <w:lang w:val="en-US"/>
        </w:rPr>
      </w:pPr>
    </w:p>
    <w:p w14:paraId="3C2CEBFF" w14:textId="77777777" w:rsidR="00E523CB" w:rsidRDefault="00E523CB">
      <w:pPr>
        <w:rPr>
          <w:lang w:val="en-US"/>
        </w:rPr>
      </w:pPr>
    </w:p>
    <w:p w14:paraId="226672ED" w14:textId="77777777" w:rsidR="00526AA6" w:rsidRDefault="00526AA6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PSS</w:t>
      </w:r>
      <w:r w:rsidR="00E523CB">
        <w:rPr>
          <w:rFonts w:ascii="Roboto" w:hAnsi="Roboto"/>
          <w:color w:val="454545"/>
        </w:rPr>
        <w:t xml:space="preserve"> License Application and Requirements</w:t>
      </w:r>
    </w:p>
    <w:p w14:paraId="4F53A70B" w14:textId="77777777" w:rsidR="00526AA6" w:rsidRPr="00526AA6" w:rsidRDefault="00526AA6" w:rsidP="00526AA6">
      <w:pPr>
        <w:jc w:val="both"/>
        <w:rPr>
          <w:rFonts w:ascii="Helvetica" w:hAnsi="Helvetica" w:cs="Times New Roman"/>
          <w:color w:val="666666"/>
          <w:lang w:eastAsia="en-GB"/>
        </w:rPr>
      </w:pPr>
      <w:r w:rsidRPr="00526AA6">
        <w:rPr>
          <w:rFonts w:ascii="Georgia" w:hAnsi="Georgia" w:cs="Times New Roman"/>
          <w:color w:val="000000"/>
          <w:lang w:eastAsia="en-GB"/>
        </w:rPr>
        <w:t>The minimum capital requirements for licensing PSSs remains N250,000,000 (Two Hundred and Fifty Million Naira) (shareholders' funds unimpaired by losses).</w:t>
      </w:r>
    </w:p>
    <w:p w14:paraId="573C2CA2" w14:textId="77777777" w:rsidR="00526AA6" w:rsidRPr="00526AA6" w:rsidRDefault="00526AA6" w:rsidP="00526AA6">
      <w:pPr>
        <w:jc w:val="both"/>
        <w:rPr>
          <w:rFonts w:ascii="Helvetica" w:hAnsi="Helvetica" w:cs="Times New Roman"/>
          <w:color w:val="666666"/>
          <w:lang w:eastAsia="en-GB"/>
        </w:rPr>
      </w:pPr>
      <w:r w:rsidRPr="00526AA6">
        <w:rPr>
          <w:rFonts w:ascii="Georgia" w:hAnsi="Georgia" w:cs="Times New Roman"/>
          <w:color w:val="000000"/>
          <w:lang w:eastAsia="en-GB"/>
        </w:rPr>
        <w:t> </w:t>
      </w:r>
    </w:p>
    <w:p w14:paraId="3A892250" w14:textId="77777777" w:rsidR="00526AA6" w:rsidRDefault="00526AA6" w:rsidP="00526AA6">
      <w:pPr>
        <w:jc w:val="both"/>
        <w:rPr>
          <w:rFonts w:ascii="Georgia" w:hAnsi="Georgia" w:cs="Times New Roman"/>
          <w:color w:val="000000"/>
          <w:lang w:eastAsia="en-GB"/>
        </w:rPr>
      </w:pPr>
      <w:r w:rsidRPr="00526AA6">
        <w:rPr>
          <w:rFonts w:ascii="Georgia" w:hAnsi="Georgia" w:cs="Times New Roman"/>
          <w:color w:val="000000"/>
          <w:lang w:eastAsia="en-GB"/>
        </w:rPr>
        <w:t>For entities applying for the three (3) licences at a time under the PSS licensing regime (PSSP, PTSP and Super-Agent), they would be required to deposit </w:t>
      </w:r>
      <w:r w:rsidRPr="00526AA6">
        <w:rPr>
          <w:rFonts w:ascii="Georgia" w:hAnsi="Georgia" w:cs="Times New Roman"/>
          <w:strike/>
          <w:color w:val="000000"/>
          <w:lang w:eastAsia="en-GB"/>
        </w:rPr>
        <w:t>N</w:t>
      </w:r>
      <w:r w:rsidRPr="00526AA6">
        <w:rPr>
          <w:rFonts w:ascii="Georgia" w:hAnsi="Georgia" w:cs="Times New Roman"/>
          <w:color w:val="000000"/>
          <w:lang w:eastAsia="en-GB"/>
        </w:rPr>
        <w:t>250,000,000 (Two Hundred and Fifty Million Naira) into CBN's PSP Share Capital Deposit Account No.1000014009.</w:t>
      </w:r>
    </w:p>
    <w:p w14:paraId="39F61A46" w14:textId="77777777" w:rsidR="00526AA6" w:rsidRPr="00526AA6" w:rsidRDefault="00526AA6" w:rsidP="00526AA6">
      <w:pPr>
        <w:jc w:val="both"/>
        <w:rPr>
          <w:rFonts w:ascii="Helvetica" w:hAnsi="Helvetica" w:cs="Times New Roman"/>
          <w:color w:val="666666"/>
          <w:lang w:eastAsia="en-GB"/>
        </w:rPr>
      </w:pPr>
    </w:p>
    <w:p w14:paraId="315AC6A6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The</w:t>
      </w:r>
      <w:r w:rsidR="00526AA6">
        <w:rPr>
          <w:rFonts w:ascii="Roboto" w:hAnsi="Roboto"/>
          <w:color w:val="454545"/>
        </w:rPr>
        <w:t xml:space="preserve"> application letter for the PSS</w:t>
      </w:r>
      <w:r>
        <w:rPr>
          <w:rFonts w:ascii="Roboto" w:hAnsi="Roboto"/>
          <w:color w:val="454545"/>
        </w:rPr>
        <w:t xml:space="preserve"> license is to be addressed to Director, Payments System Management Department (“PSMD”), Central Bank of Nigeria and accompanied with the following:</w:t>
      </w:r>
    </w:p>
    <w:p w14:paraId="02839245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1. Incorporation Documents: The following documents, which are to be certified by the Corporate Affairs Commission (“CAC”):</w:t>
      </w:r>
    </w:p>
    <w:p w14:paraId="0C8F0AE1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proofErr w:type="spellStart"/>
      <w:r>
        <w:rPr>
          <w:rFonts w:ascii="Roboto" w:hAnsi="Roboto"/>
          <w:color w:val="454545"/>
        </w:rPr>
        <w:t>i</w:t>
      </w:r>
      <w:proofErr w:type="spellEnd"/>
      <w:r>
        <w:rPr>
          <w:rFonts w:ascii="Roboto" w:hAnsi="Roboto"/>
          <w:color w:val="454545"/>
        </w:rPr>
        <w:t>. Certificate of incorporation;</w:t>
      </w:r>
      <w:r>
        <w:rPr>
          <w:rStyle w:val="apple-converted-space"/>
          <w:rFonts w:ascii="Roboto" w:hAnsi="Roboto"/>
          <w:color w:val="454545"/>
        </w:rPr>
        <w:t> </w:t>
      </w:r>
    </w:p>
    <w:p w14:paraId="66A11ADA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ii. Memorandum and Articles of Association (“MEMART”). Please note that the object clause in the MEMART must be limited to the permissible activity, namely: “operating payment processing gateway and portals, payment solution/application development, merchant services aggregation and collections in Nigeria”;</w:t>
      </w:r>
      <w:r>
        <w:rPr>
          <w:rStyle w:val="apple-converted-space"/>
          <w:rFonts w:ascii="Roboto" w:hAnsi="Roboto"/>
          <w:color w:val="454545"/>
        </w:rPr>
        <w:t> </w:t>
      </w:r>
    </w:p>
    <w:p w14:paraId="4D90081C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iii. CAC Form for Return of Allotment of Shares showing that the paid-up shar</w:t>
      </w:r>
      <w:r w:rsidR="00526AA6">
        <w:rPr>
          <w:rFonts w:ascii="Roboto" w:hAnsi="Roboto"/>
          <w:color w:val="454545"/>
        </w:rPr>
        <w:t xml:space="preserve">e capital of the company is N250,000,000 </w:t>
      </w:r>
      <w:r>
        <w:rPr>
          <w:rFonts w:ascii="Roboto" w:hAnsi="Roboto"/>
          <w:color w:val="454545"/>
        </w:rPr>
        <w:t>and</w:t>
      </w:r>
      <w:r>
        <w:rPr>
          <w:rStyle w:val="apple-converted-space"/>
          <w:rFonts w:ascii="Roboto" w:hAnsi="Roboto"/>
          <w:color w:val="454545"/>
        </w:rPr>
        <w:t> </w:t>
      </w:r>
    </w:p>
    <w:p w14:paraId="2993EC72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iv. CAC Form for Particulars of Directors.</w:t>
      </w:r>
    </w:p>
    <w:p w14:paraId="2AE295D3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2. Financial Related Documents: The following documents must be presented:</w:t>
      </w:r>
    </w:p>
    <w:p w14:paraId="519A9346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proofErr w:type="spellStart"/>
      <w:r>
        <w:rPr>
          <w:rFonts w:ascii="Roboto" w:hAnsi="Roboto"/>
          <w:color w:val="454545"/>
        </w:rPr>
        <w:t>i</w:t>
      </w:r>
      <w:proofErr w:type="spellEnd"/>
      <w:r>
        <w:rPr>
          <w:rFonts w:ascii="Roboto" w:hAnsi="Roboto"/>
          <w:color w:val="454545"/>
        </w:rPr>
        <w:t>. Audited financial statement of the applicant company;</w:t>
      </w:r>
    </w:p>
    <w:p w14:paraId="3210B32E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ii. Statement of paid up capital and plan for future increase;</w:t>
      </w:r>
    </w:p>
    <w:p w14:paraId="45B6C1E1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iii. Proof of payment of the sha</w:t>
      </w:r>
      <w:r w:rsidR="00526AA6">
        <w:rPr>
          <w:rFonts w:ascii="Roboto" w:hAnsi="Roboto"/>
          <w:color w:val="454545"/>
        </w:rPr>
        <w:t>reholders’ (Escrow) fund of N250</w:t>
      </w:r>
      <w:r>
        <w:rPr>
          <w:rFonts w:ascii="Roboto" w:hAnsi="Roboto"/>
          <w:color w:val="454545"/>
        </w:rPr>
        <w:t>,000,000 (in one lump sum and in the company’s name) into CBN PSP Share Capital Deposit Account No. 1000014009. Please note that the</w:t>
      </w:r>
      <w:r w:rsidR="00526AA6">
        <w:rPr>
          <w:rFonts w:ascii="Roboto" w:hAnsi="Roboto"/>
          <w:color w:val="454545"/>
        </w:rPr>
        <w:t xml:space="preserve"> N250</w:t>
      </w:r>
      <w:r>
        <w:rPr>
          <w:rFonts w:ascii="Roboto" w:hAnsi="Roboto"/>
          <w:color w:val="454545"/>
        </w:rPr>
        <w:t>,000,000 is refundable and may be invested pending approval/grant of final license. Both the fund and interest (if any) will be refunded after deduction of administration fee from the interest; and</w:t>
      </w:r>
    </w:p>
    <w:p w14:paraId="0F38AA3C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iv. Proof of payment in the name of the applicant of non-refundable application fee of N100,000 to CBN via RTGS No. NGN140230089/ABJ.</w:t>
      </w:r>
    </w:p>
    <w:p w14:paraId="0BE77CF1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Please note that after the grant of the Approval-In-Principle, the applicant company will be required to pay the Licensing Fee of N1,000,000 before the issuance of the final license.</w:t>
      </w:r>
    </w:p>
    <w:p w14:paraId="4AB0E56B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lastRenderedPageBreak/>
        <w:t>3. Business Related Documents: The other documents include:</w:t>
      </w:r>
    </w:p>
    <w:p w14:paraId="7F5E18BA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proofErr w:type="spellStart"/>
      <w:r>
        <w:rPr>
          <w:rFonts w:ascii="Roboto" w:hAnsi="Roboto"/>
          <w:color w:val="454545"/>
        </w:rPr>
        <w:t>i</w:t>
      </w:r>
      <w:proofErr w:type="spellEnd"/>
      <w:r>
        <w:rPr>
          <w:rFonts w:ascii="Roboto" w:hAnsi="Roboto"/>
          <w:color w:val="454545"/>
        </w:rPr>
        <w:t>. The Company’s profile detailing whether it is private or public limited liability company; the current business operations, products and services; Holding or Parent Company (if any); details of ownership and name(s) of person(s) with significant control (if any) or any significant changes in ownership in the last two (2) years; total number of staff; organogram; functional address including email address(</w:t>
      </w:r>
      <w:proofErr w:type="spellStart"/>
      <w:r>
        <w:rPr>
          <w:rFonts w:ascii="Roboto" w:hAnsi="Roboto"/>
          <w:color w:val="454545"/>
        </w:rPr>
        <w:t>es</w:t>
      </w:r>
      <w:proofErr w:type="spellEnd"/>
      <w:r>
        <w:rPr>
          <w:rFonts w:ascii="Roboto" w:hAnsi="Roboto"/>
          <w:color w:val="454545"/>
        </w:rPr>
        <w:t>) and phone number(s); and proof of, at least, one (1) Non-Executive Director on the company’s board.</w:t>
      </w:r>
      <w:r>
        <w:rPr>
          <w:rStyle w:val="apple-converted-space"/>
          <w:rFonts w:ascii="Roboto" w:hAnsi="Roboto"/>
          <w:color w:val="454545"/>
        </w:rPr>
        <w:t> </w:t>
      </w:r>
    </w:p>
    <w:p w14:paraId="57E79620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ii. Proposed Business Plan detailing the nature of business, features of the scheme, security features to be put in place, three (3) years’ financial projections; details of transactions and applicable charges that will be borne by users/customers; profit-sharing agreement between or amongst the partners; and diagrammatic illustration of transaction flows.</w:t>
      </w:r>
    </w:p>
    <w:p w14:paraId="6A771B85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iii. Information Technology Policy of the Company which must include the following:</w:t>
      </w:r>
      <w:r>
        <w:rPr>
          <w:rFonts w:ascii="Roboto" w:hAnsi="Roboto"/>
          <w:color w:val="454545"/>
        </w:rPr>
        <w:br/>
        <w:t>a. Privacy Policy</w:t>
      </w:r>
      <w:r>
        <w:rPr>
          <w:rFonts w:ascii="Roboto" w:hAnsi="Roboto"/>
          <w:color w:val="454545"/>
        </w:rPr>
        <w:br/>
        <w:t>b. Information Ownership/Disclosure/Loss Policy</w:t>
      </w:r>
      <w:r>
        <w:rPr>
          <w:rFonts w:ascii="Roboto" w:hAnsi="Roboto"/>
          <w:color w:val="454545"/>
        </w:rPr>
        <w:br/>
        <w:t>c. Backup and Restore Policy</w:t>
      </w:r>
      <w:r>
        <w:rPr>
          <w:rFonts w:ascii="Roboto" w:hAnsi="Roboto"/>
          <w:color w:val="454545"/>
        </w:rPr>
        <w:br/>
        <w:t>d. Network Security Policy</w:t>
      </w:r>
      <w:r>
        <w:rPr>
          <w:rFonts w:ascii="Roboto" w:hAnsi="Roboto"/>
          <w:color w:val="454545"/>
        </w:rPr>
        <w:br/>
        <w:t>e. Encryption Policy</w:t>
      </w:r>
      <w:r>
        <w:rPr>
          <w:rFonts w:ascii="Roboto" w:hAnsi="Roboto"/>
          <w:color w:val="454545"/>
        </w:rPr>
        <w:br/>
        <w:t>f. Confidential Data Policy</w:t>
      </w:r>
      <w:r>
        <w:rPr>
          <w:rFonts w:ascii="Roboto" w:hAnsi="Roboto"/>
          <w:color w:val="454545"/>
        </w:rPr>
        <w:br/>
        <w:t>g. Password Policy</w:t>
      </w:r>
      <w:r>
        <w:rPr>
          <w:rFonts w:ascii="Roboto" w:hAnsi="Roboto"/>
          <w:color w:val="454545"/>
        </w:rPr>
        <w:br/>
        <w:t>h. Third Party Connection Policy</w:t>
      </w:r>
      <w:r>
        <w:rPr>
          <w:rFonts w:ascii="Roboto" w:hAnsi="Roboto"/>
          <w:color w:val="454545"/>
        </w:rPr>
        <w:br/>
      </w:r>
      <w:proofErr w:type="spellStart"/>
      <w:r>
        <w:rPr>
          <w:rFonts w:ascii="Roboto" w:hAnsi="Roboto"/>
          <w:color w:val="454545"/>
        </w:rPr>
        <w:t>i</w:t>
      </w:r>
      <w:proofErr w:type="spellEnd"/>
      <w:r>
        <w:rPr>
          <w:rFonts w:ascii="Roboto" w:hAnsi="Roboto"/>
          <w:color w:val="454545"/>
        </w:rPr>
        <w:t>. Incidence Response Policy</w:t>
      </w:r>
      <w:r>
        <w:rPr>
          <w:rFonts w:ascii="Roboto" w:hAnsi="Roboto"/>
          <w:color w:val="454545"/>
        </w:rPr>
        <w:br/>
        <w:t>j. Physical Security Policy</w:t>
      </w:r>
    </w:p>
    <w:p w14:paraId="7667AB9C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iv. Escrow Agreement (if applicable).</w:t>
      </w:r>
    </w:p>
    <w:p w14:paraId="022F67E7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v. Enterprise Risk Management Framework.</w:t>
      </w:r>
    </w:p>
    <w:p w14:paraId="6FB1AF81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vi. Dispute Resolution Framework/Service Level Agreement.</w:t>
      </w:r>
    </w:p>
    <w:p w14:paraId="0EA6D69D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vii. Contingency and Disaster Recovery Plan (Business Continuity Programme).</w:t>
      </w:r>
    </w:p>
    <w:p w14:paraId="3183FB0F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viii. Reference letter from bank.</w:t>
      </w:r>
    </w:p>
    <w:p w14:paraId="2F4346DE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ix. Draft Agreements (if any) with (a) Technical Partners, (b) Participating banks, and (c) Any other party or partner.</w:t>
      </w:r>
    </w:p>
    <w:p w14:paraId="43027303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x. Tax Identification Number (TIN) and the Tax Clearance Certificate (TCC) for the last three (3) years of the applicant company.</w:t>
      </w:r>
    </w:p>
    <w:p w14:paraId="5003150D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xi. PCIDSS Certification (if applicable).</w:t>
      </w:r>
    </w:p>
    <w:p w14:paraId="214B8132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xii. PADSS Certification or Compliance with CBN IT Standards for Solution Development (if applicable).</w:t>
      </w:r>
    </w:p>
    <w:p w14:paraId="68A81D19" w14:textId="77777777" w:rsidR="00E523CB" w:rsidRDefault="00E523CB" w:rsidP="00E523CB">
      <w:pPr>
        <w:pStyle w:val="NormalWeb"/>
        <w:spacing w:before="0" w:beforeAutospacing="0" w:after="300" w:afterAutospacing="0"/>
        <w:textAlignment w:val="baseline"/>
        <w:rPr>
          <w:rFonts w:ascii="Roboto" w:hAnsi="Roboto"/>
          <w:color w:val="454545"/>
        </w:rPr>
      </w:pPr>
      <w:r>
        <w:rPr>
          <w:rFonts w:ascii="Roboto" w:hAnsi="Roboto"/>
          <w:color w:val="454545"/>
        </w:rPr>
        <w:t>4. Personal Details of Directors and Top Management Team: The Directors (including Non-Executive Directors) and Top Management must provide their respective Bank Verification Number (BVN), signed curriculum vitae and photocopy of their means of identity (preferably International Passport).</w:t>
      </w:r>
    </w:p>
    <w:p w14:paraId="1471424B" w14:textId="77777777" w:rsidR="00E523CB" w:rsidRPr="00E523CB" w:rsidRDefault="00E523CB">
      <w:pPr>
        <w:rPr>
          <w:lang w:val="en-US"/>
        </w:rPr>
      </w:pPr>
      <w:bookmarkStart w:id="0" w:name="_GoBack"/>
      <w:bookmarkEnd w:id="0"/>
    </w:p>
    <w:sectPr w:rsidR="00E523CB" w:rsidRPr="00E523CB" w:rsidSect="008028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CB"/>
    <w:rsid w:val="004D253B"/>
    <w:rsid w:val="00526AA6"/>
    <w:rsid w:val="007A7E14"/>
    <w:rsid w:val="00802841"/>
    <w:rsid w:val="00C8408D"/>
    <w:rsid w:val="00E523CB"/>
    <w:rsid w:val="00F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F5D5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3C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5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661</Words>
  <Characters>3768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2022-01-05T08:45:00Z</dcterms:created>
  <dcterms:modified xsi:type="dcterms:W3CDTF">2022-01-05T08:55:00Z</dcterms:modified>
</cp:coreProperties>
</file>